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B1" w:rsidRPr="00047E1D" w:rsidRDefault="00354917">
      <w:pPr>
        <w:rPr>
          <w:b/>
          <w:szCs w:val="21"/>
        </w:rPr>
      </w:pPr>
      <w:r w:rsidRPr="00047E1D">
        <w:rPr>
          <w:rFonts w:hint="eastAsia"/>
          <w:b/>
          <w:szCs w:val="21"/>
        </w:rPr>
        <w:t>＜</w:t>
      </w:r>
      <w:r w:rsidR="0017363C" w:rsidRPr="00047E1D">
        <w:rPr>
          <w:rFonts w:hint="eastAsia"/>
          <w:b/>
          <w:szCs w:val="21"/>
        </w:rPr>
        <w:t>制度概要</w:t>
      </w:r>
      <w:r w:rsidRPr="00047E1D">
        <w:rPr>
          <w:rFonts w:hint="eastAsia"/>
          <w:b/>
          <w:szCs w:val="21"/>
        </w:rPr>
        <w:t>＞</w:t>
      </w:r>
    </w:p>
    <w:p w:rsidR="009C1DB1" w:rsidRPr="00047E1D" w:rsidRDefault="009C1DB1" w:rsidP="0017363C">
      <w:pPr>
        <w:ind w:firstLineChars="100" w:firstLine="210"/>
        <w:rPr>
          <w:szCs w:val="21"/>
        </w:rPr>
      </w:pPr>
      <w:r w:rsidRPr="00047E1D">
        <w:rPr>
          <w:rFonts w:hint="eastAsia"/>
          <w:szCs w:val="21"/>
        </w:rPr>
        <w:t>独立系投資運用会社が、東京に拠点を設置し創業する</w:t>
      </w:r>
      <w:r w:rsidR="000C2232" w:rsidRPr="00047E1D">
        <w:rPr>
          <w:rFonts w:hint="eastAsia"/>
          <w:szCs w:val="21"/>
        </w:rPr>
        <w:t>場合に、</w:t>
      </w:r>
      <w:r w:rsidR="00A631FC">
        <w:rPr>
          <w:rFonts w:hint="eastAsia"/>
          <w:szCs w:val="21"/>
        </w:rPr>
        <w:t>業登録費用等</w:t>
      </w:r>
      <w:r w:rsidR="001A2452">
        <w:rPr>
          <w:rFonts w:hint="eastAsia"/>
          <w:szCs w:val="21"/>
        </w:rPr>
        <w:t>、協会費、法務費、運用事務費用等の</w:t>
      </w:r>
      <w:r w:rsidR="00722876" w:rsidRPr="00047E1D">
        <w:rPr>
          <w:rFonts w:hint="eastAsia"/>
          <w:szCs w:val="21"/>
        </w:rPr>
        <w:t>資産運用業創業に係る</w:t>
      </w:r>
      <w:r w:rsidR="00464BE4" w:rsidRPr="00047E1D">
        <w:rPr>
          <w:rFonts w:hint="eastAsia"/>
          <w:szCs w:val="21"/>
        </w:rPr>
        <w:t>特有の</w:t>
      </w:r>
      <w:r w:rsidRPr="00047E1D">
        <w:rPr>
          <w:rFonts w:hint="eastAsia"/>
          <w:szCs w:val="21"/>
        </w:rPr>
        <w:t>費用</w:t>
      </w:r>
      <w:r w:rsidR="000C2232" w:rsidRPr="00047E1D">
        <w:rPr>
          <w:rFonts w:hint="eastAsia"/>
          <w:szCs w:val="21"/>
        </w:rPr>
        <w:t>につきその</w:t>
      </w:r>
      <w:r w:rsidRPr="00047E1D">
        <w:rPr>
          <w:rFonts w:hint="eastAsia"/>
          <w:szCs w:val="21"/>
        </w:rPr>
        <w:t>一部を</w:t>
      </w:r>
      <w:r w:rsidR="000C2232" w:rsidRPr="00047E1D">
        <w:rPr>
          <w:rFonts w:hint="eastAsia"/>
          <w:szCs w:val="21"/>
        </w:rPr>
        <w:t>支援</w:t>
      </w:r>
      <w:r w:rsidRPr="00047E1D">
        <w:rPr>
          <w:rFonts w:hint="eastAsia"/>
          <w:szCs w:val="21"/>
        </w:rPr>
        <w:t>する制度</w:t>
      </w:r>
    </w:p>
    <w:p w:rsidR="00354917" w:rsidRPr="00047E1D" w:rsidRDefault="00354917" w:rsidP="0017363C">
      <w:pPr>
        <w:ind w:firstLineChars="100" w:firstLine="210"/>
        <w:rPr>
          <w:szCs w:val="21"/>
        </w:rPr>
      </w:pPr>
    </w:p>
    <w:p w:rsidR="009C1DB1" w:rsidRPr="00047E1D" w:rsidRDefault="00354917">
      <w:pPr>
        <w:rPr>
          <w:b/>
          <w:szCs w:val="21"/>
        </w:rPr>
      </w:pPr>
      <w:r w:rsidRPr="00047E1D">
        <w:rPr>
          <w:rFonts w:hint="eastAsia"/>
          <w:b/>
          <w:szCs w:val="21"/>
        </w:rPr>
        <w:t>＜</w:t>
      </w:r>
      <w:r w:rsidR="009C1DB1" w:rsidRPr="00047E1D">
        <w:rPr>
          <w:rFonts w:hint="eastAsia"/>
          <w:b/>
          <w:szCs w:val="21"/>
        </w:rPr>
        <w:t>補助金受給者</w:t>
      </w:r>
      <w:r w:rsidR="001A2452">
        <w:rPr>
          <w:rFonts w:hint="eastAsia"/>
          <w:b/>
          <w:szCs w:val="21"/>
        </w:rPr>
        <w:t>の要件</w:t>
      </w:r>
      <w:r w:rsidRPr="00047E1D">
        <w:rPr>
          <w:rFonts w:hint="eastAsia"/>
          <w:b/>
          <w:szCs w:val="21"/>
        </w:rPr>
        <w:t>＞</w:t>
      </w:r>
    </w:p>
    <w:p w:rsidR="000C2232" w:rsidRPr="00047E1D" w:rsidRDefault="009C1DB1" w:rsidP="000C2232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047E1D">
        <w:rPr>
          <w:rFonts w:hint="eastAsia"/>
          <w:szCs w:val="21"/>
        </w:rPr>
        <w:t>東京に拠点を設置しているこ</w:t>
      </w:r>
      <w:r w:rsidR="000C2232" w:rsidRPr="00047E1D">
        <w:rPr>
          <w:rFonts w:hint="eastAsia"/>
          <w:szCs w:val="21"/>
        </w:rPr>
        <w:t>と</w:t>
      </w:r>
    </w:p>
    <w:p w:rsidR="000C2232" w:rsidRPr="00047E1D" w:rsidRDefault="009C1DB1" w:rsidP="000C2232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047E1D">
        <w:rPr>
          <w:rFonts w:hint="eastAsia"/>
          <w:szCs w:val="21"/>
        </w:rPr>
        <w:t>独立系であること（大企業、金融機関</w:t>
      </w:r>
      <w:r w:rsidR="00B16BC4">
        <w:rPr>
          <w:rFonts w:hint="eastAsia"/>
          <w:szCs w:val="21"/>
        </w:rPr>
        <w:t>等</w:t>
      </w:r>
      <w:r w:rsidRPr="00047E1D">
        <w:rPr>
          <w:rFonts w:hint="eastAsia"/>
          <w:szCs w:val="21"/>
        </w:rPr>
        <w:t>の子会社</w:t>
      </w:r>
      <w:r w:rsidR="00B16BC4">
        <w:rPr>
          <w:rFonts w:hint="eastAsia"/>
          <w:szCs w:val="21"/>
        </w:rPr>
        <w:t>や</w:t>
      </w:r>
      <w:r w:rsidRPr="00047E1D">
        <w:rPr>
          <w:rFonts w:hint="eastAsia"/>
          <w:szCs w:val="21"/>
        </w:rPr>
        <w:t>関連会社でないこと</w:t>
      </w:r>
      <w:r w:rsidR="00722876" w:rsidRPr="00047E1D">
        <w:rPr>
          <w:rFonts w:hint="eastAsia"/>
          <w:szCs w:val="21"/>
        </w:rPr>
        <w:t>）</w:t>
      </w:r>
    </w:p>
    <w:p w:rsidR="009C1DB1" w:rsidRPr="00047E1D" w:rsidRDefault="00F275C6" w:rsidP="000C2232">
      <w:pPr>
        <w:pStyle w:val="a7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令和３</w:t>
      </w:r>
      <w:r w:rsidR="000C2232" w:rsidRPr="00047E1D">
        <w:rPr>
          <w:rFonts w:hint="eastAsia"/>
          <w:szCs w:val="21"/>
        </w:rPr>
        <w:t>年４月１日以降に</w:t>
      </w:r>
      <w:r w:rsidR="009C1DB1" w:rsidRPr="00047E1D">
        <w:rPr>
          <w:rFonts w:hint="eastAsia"/>
          <w:szCs w:val="21"/>
        </w:rPr>
        <w:t>投資運用業（適格投資家向け投資運用業）の登録</w:t>
      </w:r>
      <w:r w:rsidR="000C2232" w:rsidRPr="00047E1D">
        <w:rPr>
          <w:rFonts w:hint="eastAsia"/>
          <w:szCs w:val="21"/>
        </w:rPr>
        <w:t>の事業者</w:t>
      </w:r>
    </w:p>
    <w:p w:rsidR="000C2232" w:rsidRPr="00047E1D" w:rsidRDefault="00EA21EF" w:rsidP="0017363C">
      <w:pPr>
        <w:pStyle w:val="a7"/>
        <w:ind w:leftChars="0" w:left="360"/>
        <w:rPr>
          <w:szCs w:val="21"/>
        </w:rPr>
      </w:pPr>
      <w:r>
        <w:rPr>
          <w:rFonts w:hint="eastAsia"/>
          <w:szCs w:val="21"/>
        </w:rPr>
        <w:t>等の要件を満たしている者</w:t>
      </w:r>
    </w:p>
    <w:p w:rsidR="00354917" w:rsidRPr="00047E1D" w:rsidRDefault="00354917" w:rsidP="0017363C">
      <w:pPr>
        <w:pStyle w:val="a7"/>
        <w:ind w:leftChars="0" w:left="360"/>
        <w:rPr>
          <w:szCs w:val="21"/>
        </w:rPr>
      </w:pPr>
    </w:p>
    <w:p w:rsidR="000C2232" w:rsidRPr="00047E1D" w:rsidRDefault="00354917" w:rsidP="000C2232">
      <w:pPr>
        <w:rPr>
          <w:b/>
          <w:szCs w:val="21"/>
        </w:rPr>
      </w:pPr>
      <w:r w:rsidRPr="00047E1D">
        <w:rPr>
          <w:rFonts w:hint="eastAsia"/>
          <w:b/>
          <w:szCs w:val="21"/>
        </w:rPr>
        <w:t>＜</w:t>
      </w:r>
      <w:r w:rsidR="00722876" w:rsidRPr="00047E1D">
        <w:rPr>
          <w:rFonts w:hint="eastAsia"/>
          <w:b/>
          <w:szCs w:val="21"/>
        </w:rPr>
        <w:t>補助</w:t>
      </w:r>
      <w:r w:rsidR="000C2232" w:rsidRPr="00047E1D">
        <w:rPr>
          <w:rFonts w:hint="eastAsia"/>
          <w:b/>
          <w:szCs w:val="21"/>
        </w:rPr>
        <w:t>対象費用</w:t>
      </w:r>
      <w:r w:rsidRPr="00047E1D">
        <w:rPr>
          <w:rFonts w:hint="eastAsia"/>
          <w:b/>
          <w:szCs w:val="21"/>
        </w:rPr>
        <w:t>＞</w:t>
      </w:r>
    </w:p>
    <w:p w:rsidR="00722876" w:rsidRPr="00047E1D" w:rsidRDefault="00961303" w:rsidP="00722876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業登録費</w:t>
      </w:r>
      <w:r w:rsidR="00EA21EF">
        <w:rPr>
          <w:rFonts w:hint="eastAsia"/>
          <w:szCs w:val="21"/>
        </w:rPr>
        <w:t>（弁護士・行政書士費用）</w:t>
      </w:r>
      <w:bookmarkStart w:id="0" w:name="_GoBack"/>
      <w:bookmarkEnd w:id="0"/>
    </w:p>
    <w:p w:rsidR="00722876" w:rsidRPr="00047E1D" w:rsidRDefault="00EA21EF" w:rsidP="00722876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投資信託協会又は</w:t>
      </w:r>
      <w:r w:rsidR="00E43575">
        <w:rPr>
          <w:rFonts w:hint="eastAsia"/>
          <w:szCs w:val="21"/>
        </w:rPr>
        <w:t>日本投資顧問業協会の加入費（初年度）と年会費</w:t>
      </w:r>
    </w:p>
    <w:p w:rsidR="00EA21EF" w:rsidRDefault="00EA21EF" w:rsidP="00722876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法務・コンプライアンス</w:t>
      </w:r>
      <w:r w:rsidR="00B625EE">
        <w:rPr>
          <w:rFonts w:hint="eastAsia"/>
          <w:szCs w:val="21"/>
        </w:rPr>
        <w:t>関連</w:t>
      </w:r>
      <w:r>
        <w:rPr>
          <w:rFonts w:hint="eastAsia"/>
          <w:szCs w:val="21"/>
        </w:rPr>
        <w:t>費用</w:t>
      </w:r>
      <w:r w:rsidR="00B625EE">
        <w:rPr>
          <w:rFonts w:hint="eastAsia"/>
          <w:szCs w:val="21"/>
        </w:rPr>
        <w:t>等</w:t>
      </w:r>
    </w:p>
    <w:p w:rsidR="00722876" w:rsidRPr="00047E1D" w:rsidRDefault="00EA21EF" w:rsidP="00EA21EF">
      <w:pPr>
        <w:pStyle w:val="a7"/>
        <w:ind w:leftChars="0" w:left="420"/>
        <w:rPr>
          <w:szCs w:val="21"/>
        </w:rPr>
      </w:pPr>
      <w:r>
        <w:rPr>
          <w:rFonts w:hint="eastAsia"/>
          <w:szCs w:val="21"/>
        </w:rPr>
        <w:t>（１）法務顧問契約費用</w:t>
      </w:r>
    </w:p>
    <w:p w:rsidR="00722876" w:rsidRPr="00047E1D" w:rsidRDefault="00EA21EF" w:rsidP="00722876">
      <w:pPr>
        <w:pStyle w:val="a7"/>
        <w:ind w:leftChars="0" w:left="420"/>
        <w:rPr>
          <w:szCs w:val="21"/>
        </w:rPr>
      </w:pPr>
      <w:r>
        <w:rPr>
          <w:rFonts w:hint="eastAsia"/>
          <w:szCs w:val="21"/>
        </w:rPr>
        <w:t>（２）</w:t>
      </w:r>
      <w:r w:rsidR="00722876" w:rsidRPr="00047E1D">
        <w:rPr>
          <w:rFonts w:hint="eastAsia"/>
          <w:szCs w:val="21"/>
        </w:rPr>
        <w:t>コンプライアンスの外部委託費用（適格投資家向け投資運用業者に限定）</w:t>
      </w:r>
    </w:p>
    <w:p w:rsidR="00EA21EF" w:rsidRDefault="00722876" w:rsidP="00722876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47E1D">
        <w:rPr>
          <w:rFonts w:hint="eastAsia"/>
          <w:szCs w:val="21"/>
        </w:rPr>
        <w:t>運用事務</w:t>
      </w:r>
      <w:r w:rsidR="00464BE4" w:rsidRPr="00047E1D">
        <w:rPr>
          <w:rFonts w:hint="eastAsia"/>
          <w:szCs w:val="21"/>
        </w:rPr>
        <w:t>委託</w:t>
      </w:r>
      <w:r w:rsidR="00EA21EF">
        <w:rPr>
          <w:rFonts w:hint="eastAsia"/>
          <w:szCs w:val="21"/>
        </w:rPr>
        <w:t>・システム</w:t>
      </w:r>
      <w:r w:rsidR="00B625EE">
        <w:rPr>
          <w:rFonts w:hint="eastAsia"/>
          <w:szCs w:val="21"/>
        </w:rPr>
        <w:t>関連</w:t>
      </w:r>
      <w:r w:rsidRPr="00047E1D">
        <w:rPr>
          <w:rFonts w:hint="eastAsia"/>
          <w:szCs w:val="21"/>
        </w:rPr>
        <w:t>費用</w:t>
      </w:r>
      <w:r w:rsidR="00B625EE">
        <w:rPr>
          <w:rFonts w:hint="eastAsia"/>
          <w:szCs w:val="21"/>
        </w:rPr>
        <w:t>等</w:t>
      </w:r>
    </w:p>
    <w:p w:rsidR="00722876" w:rsidRPr="00047E1D" w:rsidRDefault="00EA21EF" w:rsidP="00EA21EF">
      <w:pPr>
        <w:pStyle w:val="a7"/>
        <w:ind w:leftChars="0" w:left="420"/>
        <w:rPr>
          <w:szCs w:val="21"/>
        </w:rPr>
      </w:pPr>
      <w:r>
        <w:rPr>
          <w:rFonts w:hint="eastAsia"/>
          <w:szCs w:val="21"/>
        </w:rPr>
        <w:t>（１）</w:t>
      </w:r>
      <w:r w:rsidR="00722876" w:rsidRPr="00047E1D">
        <w:rPr>
          <w:rFonts w:hint="eastAsia"/>
          <w:szCs w:val="21"/>
        </w:rPr>
        <w:t>ミドル</w:t>
      </w:r>
      <w:r w:rsidR="00464BE4" w:rsidRPr="00047E1D">
        <w:rPr>
          <w:rFonts w:hint="eastAsia"/>
          <w:szCs w:val="21"/>
        </w:rPr>
        <w:t>・</w:t>
      </w:r>
      <w:r w:rsidR="00722876" w:rsidRPr="00047E1D">
        <w:rPr>
          <w:rFonts w:hint="eastAsia"/>
          <w:szCs w:val="21"/>
        </w:rPr>
        <w:t>バックオフィス業務の</w:t>
      </w:r>
      <w:r>
        <w:rPr>
          <w:rFonts w:hint="eastAsia"/>
          <w:szCs w:val="21"/>
        </w:rPr>
        <w:t>事務外部委託または当該システムの契約費用</w:t>
      </w:r>
    </w:p>
    <w:p w:rsidR="0057626F" w:rsidRPr="00047E1D" w:rsidRDefault="00EA21EF" w:rsidP="0017363C">
      <w:pPr>
        <w:pStyle w:val="a7"/>
        <w:ind w:leftChars="0" w:left="420"/>
        <w:rPr>
          <w:szCs w:val="21"/>
        </w:rPr>
      </w:pPr>
      <w:r>
        <w:rPr>
          <w:rFonts w:hint="eastAsia"/>
          <w:szCs w:val="21"/>
        </w:rPr>
        <w:t>（２）システム費用（情報システム、評価システム等</w:t>
      </w:r>
      <w:r w:rsidR="00464BE4" w:rsidRPr="00047E1D">
        <w:rPr>
          <w:rFonts w:hint="eastAsia"/>
          <w:szCs w:val="21"/>
        </w:rPr>
        <w:t>）</w:t>
      </w:r>
    </w:p>
    <w:p w:rsidR="00354917" w:rsidRPr="00047E1D" w:rsidRDefault="00354917" w:rsidP="0017363C">
      <w:pPr>
        <w:pStyle w:val="a7"/>
        <w:ind w:leftChars="0" w:left="420"/>
        <w:rPr>
          <w:szCs w:val="21"/>
        </w:rPr>
      </w:pPr>
    </w:p>
    <w:p w:rsidR="00464BE4" w:rsidRPr="00047E1D" w:rsidRDefault="00354917" w:rsidP="00722876">
      <w:pPr>
        <w:rPr>
          <w:b/>
          <w:szCs w:val="21"/>
        </w:rPr>
      </w:pPr>
      <w:r w:rsidRPr="00047E1D">
        <w:rPr>
          <w:rFonts w:hint="eastAsia"/>
          <w:b/>
          <w:szCs w:val="21"/>
        </w:rPr>
        <w:t>＜</w:t>
      </w:r>
      <w:r w:rsidR="0057626F" w:rsidRPr="00047E1D">
        <w:rPr>
          <w:rFonts w:hint="eastAsia"/>
          <w:b/>
          <w:szCs w:val="21"/>
        </w:rPr>
        <w:t>補助金額</w:t>
      </w:r>
      <w:r w:rsidRPr="00047E1D">
        <w:rPr>
          <w:rFonts w:hint="eastAsia"/>
          <w:b/>
          <w:szCs w:val="21"/>
        </w:rPr>
        <w:t>＞</w:t>
      </w:r>
    </w:p>
    <w:p w:rsidR="00FB5EA7" w:rsidRDefault="0017363C" w:rsidP="00FB5EA7">
      <w:pPr>
        <w:ind w:firstLineChars="100" w:firstLine="210"/>
        <w:rPr>
          <w:szCs w:val="21"/>
        </w:rPr>
      </w:pPr>
      <w:r w:rsidRPr="00047E1D">
        <w:rPr>
          <w:rFonts w:hint="eastAsia"/>
          <w:szCs w:val="21"/>
        </w:rPr>
        <w:t>補助金</w:t>
      </w:r>
      <w:r w:rsidR="00EA21EF">
        <w:rPr>
          <w:rFonts w:hint="eastAsia"/>
          <w:szCs w:val="21"/>
        </w:rPr>
        <w:t>額支給上限額</w:t>
      </w:r>
      <w:r w:rsidR="00B625EE">
        <w:rPr>
          <w:rFonts w:hint="eastAsia"/>
          <w:szCs w:val="21"/>
        </w:rPr>
        <w:t>、</w:t>
      </w:r>
      <w:r w:rsidR="00EA21EF">
        <w:rPr>
          <w:rFonts w:hint="eastAsia"/>
          <w:szCs w:val="21"/>
        </w:rPr>
        <w:t>補助率は下記の表に記載の通り</w:t>
      </w:r>
      <w:r w:rsidR="00B16BC4">
        <w:rPr>
          <w:rFonts w:hint="eastAsia"/>
          <w:szCs w:val="21"/>
        </w:rPr>
        <w:t>（補助事業期間内に発生し、補助事業期間内に支払った費用が対象</w:t>
      </w:r>
      <w:r w:rsidR="00354917" w:rsidRPr="00047E1D">
        <w:rPr>
          <w:rFonts w:hint="eastAsia"/>
          <w:szCs w:val="21"/>
        </w:rPr>
        <w:t>）</w:t>
      </w:r>
      <w:r w:rsidR="00B625EE">
        <w:rPr>
          <w:szCs w:val="21"/>
        </w:rPr>
        <w:tab/>
      </w:r>
      <w:r w:rsidR="00B625EE">
        <w:rPr>
          <w:szCs w:val="21"/>
        </w:rPr>
        <w:tab/>
      </w:r>
      <w:r w:rsidR="00B625EE">
        <w:rPr>
          <w:szCs w:val="21"/>
        </w:rPr>
        <w:tab/>
      </w:r>
      <w:r w:rsidR="00B625EE">
        <w:rPr>
          <w:szCs w:val="21"/>
        </w:rPr>
        <w:tab/>
      </w:r>
      <w:r w:rsidR="00B625EE">
        <w:rPr>
          <w:szCs w:val="21"/>
        </w:rPr>
        <w:tab/>
      </w:r>
      <w:r w:rsidR="00B625EE">
        <w:rPr>
          <w:rFonts w:hint="eastAsia"/>
          <w:szCs w:val="21"/>
        </w:rPr>
        <w:t>（単位：千円）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88"/>
        <w:gridCol w:w="1944"/>
        <w:gridCol w:w="1806"/>
        <w:gridCol w:w="1756"/>
      </w:tblGrid>
      <w:tr w:rsidR="00FB5EA7" w:rsidTr="00986838">
        <w:trPr>
          <w:trHeight w:val="483"/>
        </w:trPr>
        <w:tc>
          <w:tcPr>
            <w:tcW w:w="3085" w:type="dxa"/>
          </w:tcPr>
          <w:p w:rsidR="00FB5EA7" w:rsidRDefault="00FB5EA7" w:rsidP="00986838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初年度（※）</w:t>
            </w:r>
          </w:p>
        </w:tc>
        <w:tc>
          <w:tcPr>
            <w:tcW w:w="1842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２年目（※）</w:t>
            </w:r>
          </w:p>
        </w:tc>
        <w:tc>
          <w:tcPr>
            <w:tcW w:w="1790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３年目（※）</w:t>
            </w:r>
          </w:p>
        </w:tc>
      </w:tr>
      <w:tr w:rsidR="00FB5EA7" w:rsidTr="00986838">
        <w:trPr>
          <w:trHeight w:val="419"/>
        </w:trPr>
        <w:tc>
          <w:tcPr>
            <w:tcW w:w="3085" w:type="dxa"/>
          </w:tcPr>
          <w:p w:rsidR="00FB5EA7" w:rsidRDefault="00FB5EA7" w:rsidP="009868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補助率</w:t>
            </w:r>
          </w:p>
        </w:tc>
        <w:tc>
          <w:tcPr>
            <w:tcW w:w="1985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５０％</w:t>
            </w:r>
          </w:p>
        </w:tc>
        <w:tc>
          <w:tcPr>
            <w:tcW w:w="1842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３３％</w:t>
            </w:r>
          </w:p>
        </w:tc>
        <w:tc>
          <w:tcPr>
            <w:tcW w:w="1790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２５％</w:t>
            </w:r>
          </w:p>
        </w:tc>
      </w:tr>
      <w:tr w:rsidR="00FB5EA7" w:rsidTr="00986838">
        <w:trPr>
          <w:trHeight w:val="411"/>
        </w:trPr>
        <w:tc>
          <w:tcPr>
            <w:tcW w:w="3085" w:type="dxa"/>
          </w:tcPr>
          <w:p w:rsidR="00FB5EA7" w:rsidRDefault="00FB5EA7" w:rsidP="009868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投資信託業者</w:t>
            </w:r>
          </w:p>
        </w:tc>
        <w:tc>
          <w:tcPr>
            <w:tcW w:w="1985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５，０００</w:t>
            </w:r>
          </w:p>
        </w:tc>
        <w:tc>
          <w:tcPr>
            <w:tcW w:w="1842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３，０００</w:t>
            </w:r>
          </w:p>
        </w:tc>
        <w:tc>
          <w:tcPr>
            <w:tcW w:w="1790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１，０００</w:t>
            </w:r>
          </w:p>
        </w:tc>
      </w:tr>
      <w:tr w:rsidR="00FB5EA7" w:rsidTr="00986838">
        <w:trPr>
          <w:trHeight w:val="417"/>
        </w:trPr>
        <w:tc>
          <w:tcPr>
            <w:tcW w:w="3085" w:type="dxa"/>
          </w:tcPr>
          <w:p w:rsidR="00FB5EA7" w:rsidRDefault="00FB5EA7" w:rsidP="009868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上記以外の投資運用業者</w:t>
            </w:r>
          </w:p>
        </w:tc>
        <w:tc>
          <w:tcPr>
            <w:tcW w:w="1985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３，０００</w:t>
            </w:r>
          </w:p>
        </w:tc>
        <w:tc>
          <w:tcPr>
            <w:tcW w:w="1842" w:type="dxa"/>
          </w:tcPr>
          <w:p w:rsidR="00FB5EA7" w:rsidRDefault="00FB5EA7" w:rsidP="00986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１，５００</w:t>
            </w:r>
          </w:p>
        </w:tc>
        <w:tc>
          <w:tcPr>
            <w:tcW w:w="1790" w:type="dxa"/>
          </w:tcPr>
          <w:p w:rsidR="00FB5EA7" w:rsidRDefault="00FB5EA7" w:rsidP="00986838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５００</w:t>
            </w:r>
          </w:p>
        </w:tc>
      </w:tr>
    </w:tbl>
    <w:p w:rsidR="00434A2C" w:rsidRDefault="00434A2C" w:rsidP="00434A2C">
      <w:pPr>
        <w:rPr>
          <w:szCs w:val="21"/>
        </w:rPr>
      </w:pPr>
    </w:p>
    <w:p w:rsidR="00722876" w:rsidRPr="00047E1D" w:rsidRDefault="00354917" w:rsidP="00722876">
      <w:pPr>
        <w:rPr>
          <w:b/>
          <w:szCs w:val="21"/>
        </w:rPr>
      </w:pPr>
      <w:r w:rsidRPr="00047E1D">
        <w:rPr>
          <w:rFonts w:hint="eastAsia"/>
          <w:b/>
          <w:szCs w:val="21"/>
        </w:rPr>
        <w:t>＜</w:t>
      </w:r>
      <w:r w:rsidR="000A6B42">
        <w:rPr>
          <w:rFonts w:hint="eastAsia"/>
          <w:b/>
          <w:szCs w:val="21"/>
        </w:rPr>
        <w:t>補助金の支給手続</w:t>
      </w:r>
      <w:r w:rsidR="00E43575">
        <w:rPr>
          <w:rFonts w:hint="eastAsia"/>
          <w:b/>
          <w:szCs w:val="21"/>
        </w:rPr>
        <w:t>イメージ</w:t>
      </w:r>
      <w:r w:rsidRPr="00047E1D">
        <w:rPr>
          <w:rFonts w:hint="eastAsia"/>
          <w:b/>
          <w:szCs w:val="21"/>
        </w:rPr>
        <w:t>＞</w:t>
      </w:r>
    </w:p>
    <w:p w:rsidR="000A6B42" w:rsidRPr="00B16BC4" w:rsidRDefault="0069395C" w:rsidP="000C2232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16BC4" w:rsidRPr="00B16BC4">
        <w:rPr>
          <w:noProof/>
        </w:rPr>
        <w:drawing>
          <wp:inline distT="0" distB="0" distL="0" distR="0" wp14:anchorId="03068F83" wp14:editId="10DEA6D5">
            <wp:extent cx="4571365" cy="145542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2180" cy="146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876" w:rsidRPr="00047E1D" w:rsidRDefault="00B16BC4" w:rsidP="000C2232">
      <w:pPr>
        <w:rPr>
          <w:szCs w:val="21"/>
        </w:rPr>
      </w:pPr>
      <w:r>
        <w:rPr>
          <w:rFonts w:hint="eastAsia"/>
          <w:szCs w:val="21"/>
        </w:rPr>
        <w:t>※補助金の支給手続き等の詳細は「資産運用業の創業に係る補助金交付要綱」を参照のこと</w:t>
      </w:r>
    </w:p>
    <w:sectPr w:rsidR="00722876" w:rsidRPr="00047E1D" w:rsidSect="00047E1D">
      <w:headerReference w:type="default" r:id="rId8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B1" w:rsidRDefault="009C1DB1" w:rsidP="009C1DB1">
      <w:r>
        <w:separator/>
      </w:r>
    </w:p>
  </w:endnote>
  <w:endnote w:type="continuationSeparator" w:id="0">
    <w:p w:rsidR="009C1DB1" w:rsidRDefault="009C1DB1" w:rsidP="009C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B1" w:rsidRDefault="009C1DB1" w:rsidP="009C1DB1">
      <w:r>
        <w:separator/>
      </w:r>
    </w:p>
  </w:footnote>
  <w:footnote w:type="continuationSeparator" w:id="0">
    <w:p w:rsidR="009C1DB1" w:rsidRDefault="009C1DB1" w:rsidP="009C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B1" w:rsidRPr="009C1DB1" w:rsidRDefault="00F275C6" w:rsidP="009C1DB1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令和６</w:t>
    </w:r>
    <w:r w:rsidR="001A2452">
      <w:rPr>
        <w:rFonts w:hint="eastAsia"/>
        <w:sz w:val="28"/>
        <w:szCs w:val="28"/>
      </w:rPr>
      <w:t>年度資産運用業の創業に係る補助金について</w:t>
    </w:r>
    <w:r w:rsidR="009C1DB1">
      <w:rPr>
        <w:rFonts w:hint="eastAsia"/>
        <w:sz w:val="28"/>
        <w:szCs w:val="28"/>
      </w:rPr>
      <w:t>（</w:t>
    </w:r>
    <w:r w:rsidR="00E43575">
      <w:rPr>
        <w:rFonts w:hint="eastAsia"/>
        <w:sz w:val="28"/>
        <w:szCs w:val="28"/>
      </w:rPr>
      <w:t>概要</w:t>
    </w:r>
    <w:r w:rsidR="009C1DB1">
      <w:rPr>
        <w:rFonts w:hint="eastAsia"/>
        <w:sz w:val="28"/>
        <w:szCs w:val="28"/>
      </w:rPr>
      <w:t>）</w:t>
    </w:r>
  </w:p>
  <w:p w:rsidR="009C1DB1" w:rsidRDefault="009C1DB1" w:rsidP="009C1DB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66C"/>
    <w:multiLevelType w:val="hybridMultilevel"/>
    <w:tmpl w:val="E5660674"/>
    <w:lvl w:ilvl="0" w:tplc="E70EC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50204"/>
    <w:multiLevelType w:val="hybridMultilevel"/>
    <w:tmpl w:val="9C863E3E"/>
    <w:lvl w:ilvl="0" w:tplc="31063B42">
      <w:start w:val="1"/>
      <w:numFmt w:val="decimal"/>
      <w:lvlText w:val="%1"/>
      <w:lvlJc w:val="left"/>
      <w:pPr>
        <w:ind w:left="420" w:hanging="2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45587F"/>
    <w:multiLevelType w:val="hybridMultilevel"/>
    <w:tmpl w:val="448867C6"/>
    <w:lvl w:ilvl="0" w:tplc="469E83BA">
      <w:start w:val="1"/>
      <w:numFmt w:val="decimalFullWidth"/>
      <w:suff w:val="space"/>
      <w:lvlText w:val="（%1）"/>
      <w:lvlJc w:val="center"/>
      <w:pPr>
        <w:ind w:left="398" w:hanging="114"/>
      </w:pPr>
      <w:rPr>
        <w:rFonts w:hint="default"/>
      </w:rPr>
    </w:lvl>
    <w:lvl w:ilvl="1" w:tplc="8F10C6A2">
      <w:start w:val="1"/>
      <w:numFmt w:val="decimalEnclosedCircle"/>
      <w:lvlText w:val="%2"/>
      <w:lvlJc w:val="left"/>
      <w:pPr>
        <w:ind w:left="1200" w:hanging="36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29F117D"/>
    <w:multiLevelType w:val="hybridMultilevel"/>
    <w:tmpl w:val="9C863E3E"/>
    <w:lvl w:ilvl="0" w:tplc="31063B42">
      <w:start w:val="1"/>
      <w:numFmt w:val="decimal"/>
      <w:lvlText w:val="%1"/>
      <w:lvlJc w:val="left"/>
      <w:pPr>
        <w:ind w:left="420" w:hanging="2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F172C"/>
    <w:multiLevelType w:val="hybridMultilevel"/>
    <w:tmpl w:val="9C863E3E"/>
    <w:lvl w:ilvl="0" w:tplc="31063B42">
      <w:start w:val="1"/>
      <w:numFmt w:val="decimal"/>
      <w:lvlText w:val="%1"/>
      <w:lvlJc w:val="left"/>
      <w:pPr>
        <w:ind w:left="420" w:hanging="2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B1"/>
    <w:rsid w:val="00047E1D"/>
    <w:rsid w:val="000A6B42"/>
    <w:rsid w:val="000C2232"/>
    <w:rsid w:val="0017363C"/>
    <w:rsid w:val="001A2452"/>
    <w:rsid w:val="00354917"/>
    <w:rsid w:val="003D1814"/>
    <w:rsid w:val="00434A2C"/>
    <w:rsid w:val="00464BE4"/>
    <w:rsid w:val="0057626F"/>
    <w:rsid w:val="00635A33"/>
    <w:rsid w:val="0069395C"/>
    <w:rsid w:val="006F3FC6"/>
    <w:rsid w:val="00722876"/>
    <w:rsid w:val="00955508"/>
    <w:rsid w:val="00961303"/>
    <w:rsid w:val="009C1DB1"/>
    <w:rsid w:val="00A631FC"/>
    <w:rsid w:val="00B16BC4"/>
    <w:rsid w:val="00B625EE"/>
    <w:rsid w:val="00E43575"/>
    <w:rsid w:val="00EA21EF"/>
    <w:rsid w:val="00F275C6"/>
    <w:rsid w:val="00F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2899"/>
  <w15:chartTrackingRefBased/>
  <w15:docId w15:val="{5E751C30-13E9-4BC7-AD07-CC10D1E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B1"/>
  </w:style>
  <w:style w:type="paragraph" w:styleId="a5">
    <w:name w:val="footer"/>
    <w:basedOn w:val="a"/>
    <w:link w:val="a6"/>
    <w:uiPriority w:val="99"/>
    <w:unhideWhenUsed/>
    <w:rsid w:val="009C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B1"/>
  </w:style>
  <w:style w:type="paragraph" w:styleId="a7">
    <w:name w:val="List Paragraph"/>
    <w:basedOn w:val="a"/>
    <w:uiPriority w:val="34"/>
    <w:qFormat/>
    <w:rsid w:val="000C2232"/>
    <w:pPr>
      <w:ind w:leftChars="400" w:left="840"/>
    </w:pPr>
  </w:style>
  <w:style w:type="paragraph" w:customStyle="1" w:styleId="Default">
    <w:name w:val="Default"/>
    <w:rsid w:val="001736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17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工藤　英之</cp:lastModifiedBy>
  <cp:revision>3</cp:revision>
  <dcterms:created xsi:type="dcterms:W3CDTF">2023-03-22T13:22:00Z</dcterms:created>
  <dcterms:modified xsi:type="dcterms:W3CDTF">2024-03-14T04:09:00Z</dcterms:modified>
</cp:coreProperties>
</file>